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61A" w:rsidRPr="00497955" w:rsidRDefault="009F761A" w:rsidP="009F761A">
      <w:pPr>
        <w:jc w:val="both"/>
        <w:rPr>
          <w:rFonts w:cstheme="minorHAnsi"/>
          <w:b/>
        </w:rPr>
      </w:pPr>
      <w:r w:rsidRPr="00497955">
        <w:rPr>
          <w:rFonts w:cstheme="minorHAnsi"/>
          <w:b/>
        </w:rPr>
        <w:t>Social Protection Response to COVID 19 in the ECIS sub-region; series of webinars</w:t>
      </w:r>
    </w:p>
    <w:p w:rsidR="009F761A" w:rsidRPr="00497955" w:rsidRDefault="009F761A" w:rsidP="009F761A">
      <w:pPr>
        <w:jc w:val="both"/>
        <w:rPr>
          <w:rFonts w:cstheme="minorHAnsi"/>
          <w:b/>
          <w:lang w:val="en-US"/>
        </w:rPr>
      </w:pPr>
    </w:p>
    <w:p w:rsidR="009F761A" w:rsidRPr="00497955" w:rsidRDefault="009F761A" w:rsidP="009F761A">
      <w:pPr>
        <w:jc w:val="both"/>
        <w:rPr>
          <w:rFonts w:cstheme="minorHAnsi"/>
          <w:b/>
        </w:rPr>
      </w:pPr>
      <w:r w:rsidRPr="00497955">
        <w:rPr>
          <w:rFonts w:cstheme="minorHAnsi"/>
          <w:b/>
        </w:rPr>
        <w:t xml:space="preserve">Webinar 3:   Rapid assessment of the impact of COVID-19 on enterprises and workers in the informal economy </w:t>
      </w:r>
    </w:p>
    <w:p w:rsidR="009F761A" w:rsidRPr="00497955" w:rsidRDefault="009F761A" w:rsidP="009F761A">
      <w:pPr>
        <w:jc w:val="both"/>
        <w:rPr>
          <w:rFonts w:cstheme="minorHAnsi"/>
        </w:rPr>
      </w:pPr>
      <w:r w:rsidRPr="00497955">
        <w:rPr>
          <w:rFonts w:cstheme="minorHAnsi"/>
        </w:rPr>
        <w:t>Date: 16 June, 2020</w:t>
      </w:r>
    </w:p>
    <w:p w:rsidR="009F761A" w:rsidRPr="00497955" w:rsidRDefault="009F761A" w:rsidP="009F761A">
      <w:pPr>
        <w:jc w:val="both"/>
        <w:rPr>
          <w:rFonts w:cstheme="minorHAnsi"/>
        </w:rPr>
      </w:pPr>
      <w:r w:rsidRPr="00497955">
        <w:rPr>
          <w:rFonts w:cstheme="minorHAnsi"/>
        </w:rPr>
        <w:t>Time: 12.00 -13.30 Moscow time</w:t>
      </w:r>
    </w:p>
    <w:p w:rsidR="001C674E" w:rsidRPr="00497955" w:rsidRDefault="009F761A" w:rsidP="001C674E">
      <w:pPr>
        <w:jc w:val="both"/>
        <w:rPr>
          <w:rFonts w:cstheme="minorHAnsi"/>
          <w:lang w:val="de-AT"/>
        </w:rPr>
      </w:pPr>
      <w:r w:rsidRPr="00497955">
        <w:rPr>
          <w:rFonts w:cstheme="minorHAnsi"/>
        </w:rPr>
        <w:t>The third webinar in the series devoted to social protection response to COVID-19 in th</w:t>
      </w:r>
      <w:r w:rsidR="00CD7DAC" w:rsidRPr="00497955">
        <w:rPr>
          <w:rFonts w:cstheme="minorHAnsi"/>
        </w:rPr>
        <w:t>e ECIS sub-region will present generic g</w:t>
      </w:r>
      <w:r w:rsidRPr="00497955">
        <w:rPr>
          <w:rFonts w:cstheme="minorHAnsi"/>
        </w:rPr>
        <w:t xml:space="preserve">uide to </w:t>
      </w:r>
      <w:r w:rsidRPr="00497955">
        <w:rPr>
          <w:rFonts w:cstheme="minorHAnsi"/>
          <w:b/>
        </w:rPr>
        <w:t>Rapid assessment of the impact of COVID -19 on enterprises and workers in the informal economy</w:t>
      </w:r>
      <w:r w:rsidRPr="00497955">
        <w:rPr>
          <w:rFonts w:cstheme="minorHAnsi"/>
        </w:rPr>
        <w:t xml:space="preserve">. </w:t>
      </w:r>
      <w:r w:rsidR="00294AFB" w:rsidRPr="00497955">
        <w:rPr>
          <w:rFonts w:cstheme="minorHAnsi"/>
          <w:lang w:val="de-AT"/>
        </w:rPr>
        <w:t>ILO estimates show that due to the impact of COVID pandemic,  and without any alternative income sources, lost labour income will result in an increase in relative poverty for informal workers and their families of more than 21 percentage points in upper-middle-income countries, almost 52 points in high-income countries and 56 points in lower- and low-income countries</w:t>
      </w:r>
      <w:r w:rsidR="00294AFB" w:rsidRPr="00497955">
        <w:rPr>
          <w:rFonts w:cstheme="minorHAnsi"/>
          <w:vertAlign w:val="superscript"/>
          <w:lang w:val="de-AT"/>
        </w:rPr>
        <w:footnoteReference w:id="1"/>
      </w:r>
      <w:r w:rsidR="00294AFB" w:rsidRPr="00497955">
        <w:rPr>
          <w:rFonts w:cstheme="minorHAnsi"/>
          <w:lang w:val="de-AT"/>
        </w:rPr>
        <w:t>.  Extension of social security coverage to workers in informal economy  with interventions meeting short, medium and longer term needs of workers in informal economy is one of the approaches to mitigate insecurity</w:t>
      </w:r>
      <w:r w:rsidR="00150F75" w:rsidRPr="00497955">
        <w:rPr>
          <w:rFonts w:cstheme="minorHAnsi"/>
          <w:lang w:val="de-AT"/>
        </w:rPr>
        <w:t xml:space="preserve"> </w:t>
      </w:r>
      <w:r w:rsidR="00294AFB" w:rsidRPr="00497955">
        <w:rPr>
          <w:rFonts w:cstheme="minorHAnsi"/>
          <w:lang w:val="de-AT"/>
        </w:rPr>
        <w:t xml:space="preserve">and lack of access to a range of health, social and economic programmes and services </w:t>
      </w:r>
      <w:r w:rsidR="00CD7DAC" w:rsidRPr="00497955">
        <w:rPr>
          <w:rFonts w:cstheme="minorHAnsi"/>
          <w:lang w:val="de-AT"/>
        </w:rPr>
        <w:t xml:space="preserve">that </w:t>
      </w:r>
      <w:r w:rsidR="00294AFB" w:rsidRPr="00497955">
        <w:rPr>
          <w:rFonts w:cstheme="minorHAnsi"/>
          <w:lang w:val="de-AT"/>
        </w:rPr>
        <w:t xml:space="preserve">women and men in informal economy and their </w:t>
      </w:r>
      <w:r w:rsidR="00150F75" w:rsidRPr="00497955">
        <w:rPr>
          <w:rFonts w:cstheme="minorHAnsi"/>
          <w:lang w:val="de-AT"/>
        </w:rPr>
        <w:t xml:space="preserve">families face on a daily basis, was discussed during last webinar. In order to design comprehensive and sustainable approaches </w:t>
      </w:r>
      <w:r w:rsidR="00294AFB" w:rsidRPr="00497955">
        <w:rPr>
          <w:rFonts w:cstheme="minorHAnsi"/>
          <w:lang w:val="de-AT"/>
        </w:rPr>
        <w:t xml:space="preserve"> Better understanding of diversity of situations they are confronted with, the challenges, opportunities and needs is needed in order to guide governments, social partners, informal economy organisation and other entities designing initiatives supporting</w:t>
      </w:r>
      <w:r w:rsidR="00150F75" w:rsidRPr="00497955">
        <w:rPr>
          <w:rFonts w:cstheme="minorHAnsi"/>
          <w:lang w:val="de-AT"/>
        </w:rPr>
        <w:t xml:space="preserve"> workers in informal economy.</w:t>
      </w:r>
    </w:p>
    <w:p w:rsidR="001C674E" w:rsidRPr="00497955" w:rsidRDefault="001C674E" w:rsidP="001C674E">
      <w:pPr>
        <w:jc w:val="both"/>
        <w:rPr>
          <w:rFonts w:cstheme="minorHAnsi"/>
          <w:lang w:val="de-AT"/>
        </w:rPr>
      </w:pPr>
      <w:r w:rsidRPr="00497955">
        <w:rPr>
          <w:rFonts w:cstheme="minorHAnsi"/>
          <w:lang w:val="de-AT"/>
        </w:rPr>
        <w:t>The rapid assessment of the impact of COVID-19 on enterprises and workers in informal economy offers guidance to:</w:t>
      </w:r>
    </w:p>
    <w:p w:rsidR="001C674E" w:rsidRPr="00497955" w:rsidRDefault="001C674E" w:rsidP="00CD7DAC">
      <w:pPr>
        <w:pStyle w:val="ListParagraph"/>
        <w:numPr>
          <w:ilvl w:val="0"/>
          <w:numId w:val="1"/>
        </w:numPr>
        <w:jc w:val="both"/>
        <w:rPr>
          <w:rFonts w:cstheme="minorHAnsi"/>
          <w:lang w:val="de-AT"/>
        </w:rPr>
      </w:pPr>
      <w:r w:rsidRPr="00497955">
        <w:rPr>
          <w:rFonts w:cstheme="minorHAnsi"/>
          <w:lang w:val="de-AT"/>
        </w:rPr>
        <w:t>identify workers in informal economy and give them voice</w:t>
      </w:r>
    </w:p>
    <w:p w:rsidR="00CD7DAC" w:rsidRPr="00497955" w:rsidRDefault="00CD7DAC" w:rsidP="00CD7DAC">
      <w:pPr>
        <w:pStyle w:val="ListParagraph"/>
        <w:numPr>
          <w:ilvl w:val="0"/>
          <w:numId w:val="1"/>
        </w:numPr>
        <w:jc w:val="both"/>
        <w:rPr>
          <w:rFonts w:cstheme="minorHAnsi"/>
          <w:lang w:val="de-AT"/>
        </w:rPr>
      </w:pPr>
      <w:r w:rsidRPr="00497955">
        <w:rPr>
          <w:rFonts w:cstheme="minorHAnsi"/>
          <w:lang w:val="de-AT"/>
        </w:rPr>
        <w:t>highlight sectors and groups most affected by the crisis</w:t>
      </w:r>
    </w:p>
    <w:p w:rsidR="00053949" w:rsidRPr="00497955" w:rsidRDefault="00CD7DAC" w:rsidP="00CD7DAC">
      <w:pPr>
        <w:pStyle w:val="ListParagraph"/>
        <w:numPr>
          <w:ilvl w:val="0"/>
          <w:numId w:val="1"/>
        </w:numPr>
        <w:rPr>
          <w:rFonts w:cstheme="minorHAnsi"/>
        </w:rPr>
      </w:pPr>
      <w:r w:rsidRPr="00497955">
        <w:rPr>
          <w:rFonts w:cstheme="minorHAnsi"/>
          <w:lang w:val="de-AT"/>
        </w:rPr>
        <w:t>i</w:t>
      </w:r>
      <w:proofErr w:type="spellStart"/>
      <w:r w:rsidRPr="00497955">
        <w:rPr>
          <w:rFonts w:cstheme="minorHAnsi"/>
        </w:rPr>
        <w:t>dentify</w:t>
      </w:r>
      <w:proofErr w:type="spellEnd"/>
      <w:r w:rsidRPr="00497955">
        <w:rPr>
          <w:rFonts w:cstheme="minorHAnsi"/>
        </w:rPr>
        <w:t xml:space="preserve"> the direct and indirect effects of the pandemic and adopted preventive measures on selected sectors, sub-sectors or activities in the informal economy</w:t>
      </w:r>
    </w:p>
    <w:p w:rsidR="00CD7DAC" w:rsidRPr="00497955" w:rsidRDefault="00CD7DAC" w:rsidP="00CD7DAC">
      <w:pPr>
        <w:pStyle w:val="ListParagraph"/>
        <w:numPr>
          <w:ilvl w:val="0"/>
          <w:numId w:val="1"/>
        </w:numPr>
        <w:rPr>
          <w:rFonts w:cstheme="minorHAnsi"/>
        </w:rPr>
      </w:pPr>
      <w:r w:rsidRPr="00497955">
        <w:rPr>
          <w:rFonts w:cstheme="minorHAnsi"/>
        </w:rPr>
        <w:t>methodological approaches to rapid assessment</w:t>
      </w:r>
    </w:p>
    <w:p w:rsidR="00CD7DAC" w:rsidRPr="00497955" w:rsidRDefault="00CD7DAC" w:rsidP="00CD7DAC">
      <w:pPr>
        <w:rPr>
          <w:rFonts w:cstheme="minorHAnsi"/>
        </w:rPr>
      </w:pPr>
    </w:p>
    <w:p w:rsidR="00CD7DAC" w:rsidRPr="00497955" w:rsidRDefault="00CD7DAC" w:rsidP="00CD7DAC">
      <w:pPr>
        <w:rPr>
          <w:rFonts w:cstheme="minorHAnsi"/>
        </w:rPr>
      </w:pPr>
      <w:r w:rsidRPr="00497955">
        <w:rPr>
          <w:rFonts w:cstheme="minorHAnsi"/>
        </w:rPr>
        <w:t>Agenda:</w:t>
      </w:r>
    </w:p>
    <w:p w:rsidR="00CD7DAC" w:rsidRPr="00497955" w:rsidRDefault="00CD7DAC" w:rsidP="00497955">
      <w:pPr>
        <w:jc w:val="center"/>
        <w:rPr>
          <w:rFonts w:cstheme="minorHAnsi"/>
        </w:rPr>
      </w:pPr>
      <w:r w:rsidRPr="00497955">
        <w:rPr>
          <w:rFonts w:cstheme="minorHAnsi"/>
        </w:rPr>
        <w:t>Welcome</w:t>
      </w:r>
    </w:p>
    <w:p w:rsidR="00CD7DAC" w:rsidRPr="00497955" w:rsidRDefault="00CD7DAC" w:rsidP="00CD7DAC">
      <w:pPr>
        <w:rPr>
          <w:rFonts w:cstheme="minorHAnsi"/>
        </w:rPr>
      </w:pPr>
      <w:r w:rsidRPr="00497955">
        <w:rPr>
          <w:rFonts w:cstheme="minorHAnsi"/>
        </w:rPr>
        <w:t xml:space="preserve">Ms Olga </w:t>
      </w:r>
      <w:proofErr w:type="spellStart"/>
      <w:r w:rsidRPr="00497955">
        <w:rPr>
          <w:rFonts w:cstheme="minorHAnsi"/>
        </w:rPr>
        <w:t>Koulaeva</w:t>
      </w:r>
      <w:proofErr w:type="spellEnd"/>
      <w:r w:rsidR="00497955" w:rsidRPr="00497955">
        <w:rPr>
          <w:rFonts w:cstheme="minorHAnsi"/>
        </w:rPr>
        <w:t>, Director, ILO Decent Work Technical Support Team and Country Office for Eastern Europe and Central Asia</w:t>
      </w:r>
    </w:p>
    <w:p w:rsidR="00497955" w:rsidRPr="00497955" w:rsidRDefault="00497955" w:rsidP="00CD7DAC">
      <w:pPr>
        <w:rPr>
          <w:rFonts w:cstheme="minorHAnsi"/>
        </w:rPr>
      </w:pPr>
    </w:p>
    <w:p w:rsidR="00CD7DAC" w:rsidRPr="00497955" w:rsidRDefault="00CD7DAC" w:rsidP="00497955">
      <w:pPr>
        <w:jc w:val="center"/>
        <w:rPr>
          <w:rFonts w:cstheme="minorHAnsi"/>
        </w:rPr>
      </w:pPr>
      <w:r w:rsidRPr="00497955">
        <w:rPr>
          <w:rFonts w:cstheme="minorHAnsi"/>
        </w:rPr>
        <w:t>Introduction to the seminar and brief overview of the challenges in ECIS sub-region</w:t>
      </w:r>
    </w:p>
    <w:p w:rsidR="00CD7DAC" w:rsidRPr="00497955" w:rsidRDefault="00CD7DAC" w:rsidP="00CD7DAC">
      <w:pPr>
        <w:rPr>
          <w:rFonts w:cstheme="minorHAnsi"/>
        </w:rPr>
      </w:pPr>
      <w:r w:rsidRPr="00497955">
        <w:rPr>
          <w:rFonts w:cstheme="minorHAnsi"/>
        </w:rPr>
        <w:t>Jasmina Papa, Social Protection Specialist</w:t>
      </w:r>
    </w:p>
    <w:p w:rsidR="00CD7DAC" w:rsidRPr="00497955" w:rsidRDefault="00CD7DAC" w:rsidP="00CD7DAC">
      <w:pPr>
        <w:rPr>
          <w:rFonts w:cstheme="minorHAnsi"/>
        </w:rPr>
      </w:pPr>
    </w:p>
    <w:p w:rsidR="00150F75" w:rsidRPr="00497955" w:rsidRDefault="00150F75" w:rsidP="00497955">
      <w:pPr>
        <w:jc w:val="center"/>
        <w:rPr>
          <w:rFonts w:cstheme="minorHAnsi"/>
        </w:rPr>
      </w:pPr>
      <w:r w:rsidRPr="00497955">
        <w:rPr>
          <w:rFonts w:cstheme="minorHAnsi"/>
        </w:rPr>
        <w:lastRenderedPageBreak/>
        <w:t xml:space="preserve">Presentation of the guide to </w:t>
      </w:r>
      <w:r w:rsidRPr="00497955">
        <w:rPr>
          <w:rFonts w:cstheme="minorHAnsi"/>
          <w:b/>
        </w:rPr>
        <w:t>Rapid assessment of the impact of COVID -19 on enterprises and workers in the informal economy</w:t>
      </w:r>
    </w:p>
    <w:p w:rsidR="00CD7DAC" w:rsidRPr="00497955" w:rsidRDefault="00497955" w:rsidP="00CD7DAC">
      <w:pPr>
        <w:rPr>
          <w:rFonts w:cstheme="minorHAnsi"/>
        </w:rPr>
      </w:pPr>
      <w:r w:rsidRPr="00497955">
        <w:rPr>
          <w:rFonts w:cstheme="minorHAnsi"/>
        </w:rPr>
        <w:t>Flore</w:t>
      </w:r>
      <w:r w:rsidR="00150F75" w:rsidRPr="00497955">
        <w:rPr>
          <w:rFonts w:cstheme="minorHAnsi"/>
        </w:rPr>
        <w:t>nce Bonnet</w:t>
      </w:r>
      <w:r w:rsidRPr="00497955">
        <w:rPr>
          <w:rFonts w:cstheme="minorHAnsi"/>
        </w:rPr>
        <w:t>, Labour Market and Informality Specialist, ILO</w:t>
      </w:r>
    </w:p>
    <w:p w:rsidR="00150F75" w:rsidRPr="00497955" w:rsidRDefault="00150F75" w:rsidP="00CD7DAC">
      <w:pPr>
        <w:rPr>
          <w:rFonts w:cstheme="minorHAnsi"/>
        </w:rPr>
      </w:pPr>
      <w:r w:rsidRPr="00497955">
        <w:rPr>
          <w:rFonts w:cstheme="minorHAnsi"/>
        </w:rPr>
        <w:t>Questions and answers</w:t>
      </w:r>
    </w:p>
    <w:p w:rsidR="00150F75" w:rsidRPr="00497955" w:rsidRDefault="00150F75" w:rsidP="00497955">
      <w:pPr>
        <w:jc w:val="center"/>
        <w:rPr>
          <w:rFonts w:cstheme="minorHAnsi"/>
          <w:b/>
        </w:rPr>
      </w:pPr>
      <w:r w:rsidRPr="00497955">
        <w:rPr>
          <w:rFonts w:cstheme="minorHAnsi"/>
          <w:b/>
        </w:rPr>
        <w:t>Experience with use and adaptation of Rapid assessment tool</w:t>
      </w:r>
      <w:r w:rsidR="00071D6F">
        <w:rPr>
          <w:rFonts w:cstheme="minorHAnsi"/>
          <w:b/>
        </w:rPr>
        <w:t>s</w:t>
      </w:r>
      <w:r w:rsidRPr="00497955">
        <w:rPr>
          <w:rFonts w:cstheme="minorHAnsi"/>
          <w:b/>
        </w:rPr>
        <w:t xml:space="preserve"> in Jordan</w:t>
      </w:r>
      <w:r w:rsidR="00071D6F">
        <w:rPr>
          <w:rFonts w:cstheme="minorHAnsi"/>
          <w:b/>
        </w:rPr>
        <w:t>, Lebanon and Iraq</w:t>
      </w:r>
    </w:p>
    <w:p w:rsidR="00665D6A" w:rsidRDefault="00150F75" w:rsidP="00CD7DAC">
      <w:pPr>
        <w:rPr>
          <w:rFonts w:cstheme="minorHAnsi"/>
          <w:shd w:val="clear" w:color="auto" w:fill="FFFFFF"/>
        </w:rPr>
      </w:pPr>
      <w:r w:rsidRPr="00497955">
        <w:rPr>
          <w:rFonts w:cstheme="minorHAnsi"/>
        </w:rPr>
        <w:t>Maha Katta</w:t>
      </w:r>
      <w:r w:rsidR="00071D6F">
        <w:rPr>
          <w:rFonts w:cstheme="minorHAnsi"/>
        </w:rPr>
        <w:t>a</w:t>
      </w:r>
      <w:r w:rsidR="00497955" w:rsidRPr="00497955">
        <w:rPr>
          <w:rFonts w:cstheme="minorHAnsi"/>
        </w:rPr>
        <w:t xml:space="preserve">, </w:t>
      </w:r>
      <w:r w:rsidR="00497955" w:rsidRPr="00497955">
        <w:rPr>
          <w:rFonts w:cstheme="minorHAnsi"/>
          <w:shd w:val="clear" w:color="auto" w:fill="FFFFFF"/>
        </w:rPr>
        <w:t>ILO Senior Resilience and Crisis Response Specialist</w:t>
      </w:r>
      <w:r w:rsidR="00071D6F" w:rsidRPr="00497955">
        <w:rPr>
          <w:rFonts w:cstheme="minorHAnsi"/>
          <w:shd w:val="clear" w:color="auto" w:fill="FFFFFF"/>
        </w:rPr>
        <w:t xml:space="preserve">, </w:t>
      </w:r>
      <w:r w:rsidR="00071D6F">
        <w:rPr>
          <w:rFonts w:cstheme="minorHAnsi"/>
          <w:shd w:val="clear" w:color="auto" w:fill="FFFFFF"/>
        </w:rPr>
        <w:t>Iraq Country Coordinator</w:t>
      </w:r>
    </w:p>
    <w:p w:rsidR="00665D6A" w:rsidRDefault="00665D6A" w:rsidP="00CD7DAC">
      <w:pPr>
        <w:rPr>
          <w:rFonts w:cstheme="minorHAnsi"/>
          <w:shd w:val="clear" w:color="auto" w:fill="FFFFFF"/>
        </w:rPr>
      </w:pPr>
      <w:r>
        <w:rPr>
          <w:rFonts w:cstheme="minorHAnsi"/>
          <w:shd w:val="clear" w:color="auto" w:fill="FFFFFF"/>
        </w:rPr>
        <w:t>Experiences in the sub-region:</w:t>
      </w:r>
    </w:p>
    <w:p w:rsidR="00665D6A" w:rsidRDefault="00665D6A" w:rsidP="00665D6A">
      <w:pPr>
        <w:jc w:val="center"/>
        <w:rPr>
          <w:rFonts w:cstheme="minorHAnsi"/>
          <w:b/>
        </w:rPr>
      </w:pPr>
      <w:r w:rsidRPr="00497955">
        <w:rPr>
          <w:rFonts w:cstheme="minorHAnsi"/>
          <w:b/>
        </w:rPr>
        <w:t>Identification of workers in informal economy eligible for unemployment assistance in Georgia</w:t>
      </w:r>
    </w:p>
    <w:p w:rsidR="00665D6A" w:rsidRPr="00497955" w:rsidRDefault="00665D6A" w:rsidP="00CD7DAC">
      <w:pPr>
        <w:rPr>
          <w:rFonts w:cstheme="minorHAnsi"/>
        </w:rPr>
      </w:pPr>
      <w:proofErr w:type="spellStart"/>
      <w:r>
        <w:rPr>
          <w:rFonts w:cstheme="minorHAnsi"/>
        </w:rPr>
        <w:t>Tamila</w:t>
      </w:r>
      <w:proofErr w:type="spellEnd"/>
      <w:r>
        <w:rPr>
          <w:rFonts w:cstheme="minorHAnsi"/>
        </w:rPr>
        <w:t xml:space="preserve"> </w:t>
      </w:r>
      <w:proofErr w:type="spellStart"/>
      <w:r>
        <w:rPr>
          <w:rFonts w:cstheme="minorHAnsi"/>
        </w:rPr>
        <w:t>Barkalaia</w:t>
      </w:r>
      <w:proofErr w:type="spellEnd"/>
      <w:r>
        <w:rPr>
          <w:rFonts w:cstheme="minorHAnsi"/>
        </w:rPr>
        <w:t>, Deputy Minister, Ministry of Internally Displaced Persons from the Occupied Territories, Labour, Health and Social Affairs of Georgia</w:t>
      </w:r>
    </w:p>
    <w:p w:rsidR="00150F75" w:rsidRPr="00497955" w:rsidRDefault="00150F75" w:rsidP="00497955">
      <w:pPr>
        <w:jc w:val="center"/>
        <w:rPr>
          <w:rFonts w:cstheme="minorHAnsi"/>
        </w:rPr>
      </w:pPr>
      <w:r w:rsidRPr="00497955">
        <w:rPr>
          <w:rFonts w:cstheme="minorHAnsi"/>
          <w:b/>
        </w:rPr>
        <w:t>Rapid survey of the situation of workers in micro-small and medium enterprises in</w:t>
      </w:r>
      <w:r w:rsidRPr="00497955">
        <w:rPr>
          <w:rFonts w:cstheme="minorHAnsi"/>
        </w:rPr>
        <w:t xml:space="preserve"> </w:t>
      </w:r>
      <w:r w:rsidRPr="00497955">
        <w:rPr>
          <w:rFonts w:cstheme="minorHAnsi"/>
          <w:b/>
        </w:rPr>
        <w:t>Uzbekistan</w:t>
      </w:r>
    </w:p>
    <w:p w:rsidR="00150F75" w:rsidRPr="00497955" w:rsidRDefault="00150F75" w:rsidP="00CD7DAC">
      <w:pPr>
        <w:rPr>
          <w:rFonts w:cstheme="minorHAnsi"/>
        </w:rPr>
      </w:pPr>
      <w:r w:rsidRPr="00497955">
        <w:rPr>
          <w:rFonts w:cstheme="minorHAnsi"/>
        </w:rPr>
        <w:t xml:space="preserve">Janna </w:t>
      </w:r>
      <w:proofErr w:type="spellStart"/>
      <w:r w:rsidRPr="00497955">
        <w:rPr>
          <w:rFonts w:cstheme="minorHAnsi"/>
        </w:rPr>
        <w:t>Fak</w:t>
      </w:r>
      <w:r w:rsidR="00665D6A">
        <w:rPr>
          <w:rFonts w:cstheme="minorHAnsi"/>
        </w:rPr>
        <w:t>k</w:t>
      </w:r>
      <w:r w:rsidRPr="00497955">
        <w:rPr>
          <w:rFonts w:cstheme="minorHAnsi"/>
        </w:rPr>
        <w:t>atthova</w:t>
      </w:r>
      <w:proofErr w:type="spellEnd"/>
      <w:r w:rsidR="00665D6A">
        <w:rPr>
          <w:rFonts w:cstheme="minorHAnsi"/>
        </w:rPr>
        <w:t xml:space="preserve">, National Expert </w:t>
      </w:r>
    </w:p>
    <w:p w:rsidR="00665D6A" w:rsidRDefault="00665D6A" w:rsidP="00497955">
      <w:pPr>
        <w:jc w:val="center"/>
        <w:rPr>
          <w:rFonts w:cstheme="minorHAnsi"/>
          <w:b/>
        </w:rPr>
      </w:pPr>
    </w:p>
    <w:p w:rsidR="00150F75" w:rsidRPr="00497955" w:rsidRDefault="00665D6A" w:rsidP="00665D6A">
      <w:pPr>
        <w:rPr>
          <w:rFonts w:cstheme="minorHAnsi"/>
          <w:b/>
        </w:rPr>
      </w:pPr>
      <w:r>
        <w:rPr>
          <w:rFonts w:cstheme="minorHAnsi"/>
          <w:b/>
        </w:rPr>
        <w:t xml:space="preserve">Feedback and </w:t>
      </w:r>
      <w:bookmarkStart w:id="0" w:name="_GoBack"/>
      <w:bookmarkEnd w:id="0"/>
      <w:r w:rsidR="00150F75" w:rsidRPr="00497955">
        <w:rPr>
          <w:rFonts w:cstheme="minorHAnsi"/>
          <w:b/>
        </w:rPr>
        <w:t>Discussion</w:t>
      </w:r>
    </w:p>
    <w:p w:rsidR="00150F75" w:rsidRPr="00497955" w:rsidRDefault="00150F75" w:rsidP="00CD7DAC">
      <w:pPr>
        <w:rPr>
          <w:rFonts w:cstheme="minorHAnsi"/>
        </w:rPr>
      </w:pPr>
    </w:p>
    <w:p w:rsidR="00150F75" w:rsidRPr="00497955" w:rsidRDefault="00150F75" w:rsidP="00CD7DAC">
      <w:pPr>
        <w:rPr>
          <w:rFonts w:cstheme="minorHAnsi"/>
        </w:rPr>
      </w:pPr>
    </w:p>
    <w:sectPr w:rsidR="00150F75" w:rsidRPr="004979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317" w:rsidRDefault="00ED4317" w:rsidP="00294AFB">
      <w:pPr>
        <w:spacing w:after="0" w:line="240" w:lineRule="auto"/>
      </w:pPr>
      <w:r>
        <w:separator/>
      </w:r>
    </w:p>
  </w:endnote>
  <w:endnote w:type="continuationSeparator" w:id="0">
    <w:p w:rsidR="00ED4317" w:rsidRDefault="00ED4317" w:rsidP="00294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317" w:rsidRDefault="00ED4317" w:rsidP="00294AFB">
      <w:pPr>
        <w:spacing w:after="0" w:line="240" w:lineRule="auto"/>
      </w:pPr>
      <w:r>
        <w:separator/>
      </w:r>
    </w:p>
  </w:footnote>
  <w:footnote w:type="continuationSeparator" w:id="0">
    <w:p w:rsidR="00ED4317" w:rsidRDefault="00ED4317" w:rsidP="00294AFB">
      <w:pPr>
        <w:spacing w:after="0" w:line="240" w:lineRule="auto"/>
      </w:pPr>
      <w:r>
        <w:continuationSeparator/>
      </w:r>
    </w:p>
  </w:footnote>
  <w:footnote w:id="1">
    <w:p w:rsidR="00294AFB" w:rsidRPr="0052754B" w:rsidRDefault="00294AFB" w:rsidP="00294AFB">
      <w:pPr>
        <w:pStyle w:val="FootnoteText"/>
      </w:pPr>
      <w:r>
        <w:rPr>
          <w:rStyle w:val="FootnoteReference"/>
        </w:rPr>
        <w:footnoteRef/>
      </w:r>
      <w:r>
        <w:t xml:space="preserve"> </w:t>
      </w:r>
      <w:hyperlink r:id="rId1" w:history="1">
        <w:r>
          <w:rPr>
            <w:rStyle w:val="Hyperlink"/>
          </w:rPr>
          <w:t>https://www.ilo.org/wcmsp5/groups/public/---</w:t>
        </w:r>
        <w:proofErr w:type="spellStart"/>
        <w:r>
          <w:rPr>
            <w:rStyle w:val="Hyperlink"/>
          </w:rPr>
          <w:t>ed_protect</w:t>
        </w:r>
        <w:proofErr w:type="spellEnd"/>
        <w:r>
          <w:rPr>
            <w:rStyle w:val="Hyperlink"/>
          </w:rPr>
          <w:t>/---</w:t>
        </w:r>
        <w:proofErr w:type="spellStart"/>
        <w:r>
          <w:rPr>
            <w:rStyle w:val="Hyperlink"/>
          </w:rPr>
          <w:t>protrav</w:t>
        </w:r>
        <w:proofErr w:type="spellEnd"/>
        <w:r>
          <w:rPr>
            <w:rStyle w:val="Hyperlink"/>
          </w:rPr>
          <w:t>/---travail/documents/</w:t>
        </w:r>
        <w:proofErr w:type="spellStart"/>
        <w:r>
          <w:rPr>
            <w:rStyle w:val="Hyperlink"/>
          </w:rPr>
          <w:t>briefingnote</w:t>
        </w:r>
        <w:proofErr w:type="spellEnd"/>
        <w:r>
          <w:rPr>
            <w:rStyle w:val="Hyperlink"/>
          </w:rPr>
          <w:t>/wcms_743623.pdf</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857FCC"/>
    <w:multiLevelType w:val="hybridMultilevel"/>
    <w:tmpl w:val="0FDA6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00"/>
    <w:rsid w:val="00053949"/>
    <w:rsid w:val="00071D6F"/>
    <w:rsid w:val="00150F75"/>
    <w:rsid w:val="001C674E"/>
    <w:rsid w:val="00294AFB"/>
    <w:rsid w:val="00497955"/>
    <w:rsid w:val="00561900"/>
    <w:rsid w:val="00665D6A"/>
    <w:rsid w:val="006D648B"/>
    <w:rsid w:val="009F761A"/>
    <w:rsid w:val="00B539D9"/>
    <w:rsid w:val="00CD7DAC"/>
    <w:rsid w:val="00D03616"/>
    <w:rsid w:val="00ED4317"/>
    <w:rsid w:val="00F844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D5C92"/>
  <w15:chartTrackingRefBased/>
  <w15:docId w15:val="{48E9177E-9C09-475A-8FE9-9AEEEB90A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6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94A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4AFB"/>
    <w:rPr>
      <w:sz w:val="20"/>
      <w:szCs w:val="20"/>
    </w:rPr>
  </w:style>
  <w:style w:type="character" w:styleId="FootnoteReference">
    <w:name w:val="footnote reference"/>
    <w:basedOn w:val="DefaultParagraphFont"/>
    <w:uiPriority w:val="99"/>
    <w:semiHidden/>
    <w:unhideWhenUsed/>
    <w:rsid w:val="00294AFB"/>
    <w:rPr>
      <w:vertAlign w:val="superscript"/>
    </w:rPr>
  </w:style>
  <w:style w:type="character" w:styleId="Hyperlink">
    <w:name w:val="Hyperlink"/>
    <w:basedOn w:val="DefaultParagraphFont"/>
    <w:uiPriority w:val="99"/>
    <w:semiHidden/>
    <w:unhideWhenUsed/>
    <w:rsid w:val="00294AFB"/>
    <w:rPr>
      <w:color w:val="0000FF"/>
      <w:u w:val="single"/>
    </w:rPr>
  </w:style>
  <w:style w:type="paragraph" w:styleId="ListParagraph">
    <w:name w:val="List Paragraph"/>
    <w:basedOn w:val="Normal"/>
    <w:uiPriority w:val="34"/>
    <w:qFormat/>
    <w:rsid w:val="00CD7D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622847">
      <w:bodyDiv w:val="1"/>
      <w:marLeft w:val="0"/>
      <w:marRight w:val="0"/>
      <w:marTop w:val="0"/>
      <w:marBottom w:val="0"/>
      <w:divBdr>
        <w:top w:val="none" w:sz="0" w:space="0" w:color="auto"/>
        <w:left w:val="none" w:sz="0" w:space="0" w:color="auto"/>
        <w:bottom w:val="none" w:sz="0" w:space="0" w:color="auto"/>
        <w:right w:val="none" w:sz="0" w:space="0" w:color="auto"/>
      </w:divBdr>
    </w:div>
    <w:div w:id="2098674966">
      <w:bodyDiv w:val="1"/>
      <w:marLeft w:val="0"/>
      <w:marRight w:val="0"/>
      <w:marTop w:val="0"/>
      <w:marBottom w:val="0"/>
      <w:divBdr>
        <w:top w:val="none" w:sz="0" w:space="0" w:color="auto"/>
        <w:left w:val="none" w:sz="0" w:space="0" w:color="auto"/>
        <w:bottom w:val="none" w:sz="0" w:space="0" w:color="auto"/>
        <w:right w:val="none" w:sz="0" w:space="0" w:color="auto"/>
      </w:divBdr>
      <w:divsChild>
        <w:div w:id="280117245">
          <w:marLeft w:val="0"/>
          <w:marRight w:val="0"/>
          <w:marTop w:val="0"/>
          <w:marBottom w:val="420"/>
          <w:divBdr>
            <w:top w:val="none" w:sz="0" w:space="0" w:color="auto"/>
            <w:left w:val="none" w:sz="0" w:space="0" w:color="auto"/>
            <w:bottom w:val="none" w:sz="0" w:space="0" w:color="auto"/>
            <w:right w:val="none" w:sz="0" w:space="0" w:color="auto"/>
          </w:divBdr>
          <w:divsChild>
            <w:div w:id="584414740">
              <w:marLeft w:val="0"/>
              <w:marRight w:val="0"/>
              <w:marTop w:val="0"/>
              <w:marBottom w:val="0"/>
              <w:divBdr>
                <w:top w:val="none" w:sz="0" w:space="0" w:color="auto"/>
                <w:left w:val="none" w:sz="0" w:space="0" w:color="auto"/>
                <w:bottom w:val="none" w:sz="0" w:space="0" w:color="auto"/>
                <w:right w:val="none" w:sz="0" w:space="0" w:color="auto"/>
              </w:divBdr>
              <w:divsChild>
                <w:div w:id="1347514080">
                  <w:marLeft w:val="0"/>
                  <w:marRight w:val="0"/>
                  <w:marTop w:val="0"/>
                  <w:marBottom w:val="0"/>
                  <w:divBdr>
                    <w:top w:val="none" w:sz="0" w:space="0" w:color="auto"/>
                    <w:left w:val="none" w:sz="0" w:space="0" w:color="auto"/>
                    <w:bottom w:val="none" w:sz="0" w:space="0" w:color="auto"/>
                    <w:right w:val="none" w:sz="0" w:space="0" w:color="auto"/>
                  </w:divBdr>
                  <w:divsChild>
                    <w:div w:id="180126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lo.org/wcmsp5/groups/public/---ed_protect/---protrav/---travail/documents/briefingnote/wcms_7436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2020-06-10T09:14:00Z</dcterms:created>
  <dcterms:modified xsi:type="dcterms:W3CDTF">2020-06-15T07:28:00Z</dcterms:modified>
</cp:coreProperties>
</file>